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939" w:rsidRPr="00EA243B" w:rsidRDefault="00BF7939" w:rsidP="00BF7939">
      <w:pPr>
        <w:tabs>
          <w:tab w:val="right" w:pos="9639"/>
        </w:tabs>
        <w:ind w:left="0"/>
        <w:rPr>
          <w:rFonts w:ascii="Arial" w:hAnsi="Arial" w:cs="Arial"/>
          <w:b/>
          <w:i/>
          <w:noProof/>
          <w:sz w:val="28"/>
        </w:rPr>
      </w:pPr>
      <w:r w:rsidRPr="00EA243B">
        <w:rPr>
          <w:rFonts w:ascii="Arial" w:hAnsi="Arial" w:cs="Arial"/>
          <w:b/>
          <w:noProof/>
        </w:rPr>
        <w:t>3GPP TSG RAN2 Meeting #12</w:t>
      </w:r>
      <w:r>
        <w:rPr>
          <w:rFonts w:ascii="Arial" w:hAnsi="Arial" w:cs="Arial"/>
          <w:b/>
          <w:noProof/>
        </w:rPr>
        <w:t>4</w:t>
      </w:r>
      <w:r w:rsidRPr="00EA243B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                  </w:t>
      </w:r>
      <w:r w:rsidR="00E83359">
        <w:rPr>
          <w:rFonts w:ascii="Arial" w:hAnsi="Arial" w:cs="Arial"/>
          <w:b/>
          <w:bCs/>
        </w:rPr>
        <w:t>R2-2313419</w:t>
      </w:r>
    </w:p>
    <w:p w:rsidR="00BF7939" w:rsidRPr="00C36E90" w:rsidRDefault="00BF7939" w:rsidP="00BF7939">
      <w:pPr>
        <w:pStyle w:val="a4"/>
        <w:rPr>
          <w:rFonts w:eastAsia="Calibri" w:cs="Arial"/>
          <w:sz w:val="24"/>
          <w:szCs w:val="22"/>
        </w:rPr>
      </w:pPr>
      <w:r w:rsidRPr="00C36E90">
        <w:rPr>
          <w:rFonts w:eastAsia="Calibri" w:cs="Arial"/>
          <w:sz w:val="24"/>
          <w:szCs w:val="22"/>
        </w:rPr>
        <w:t>Chicago, USA, Nov</w:t>
      </w:r>
      <w:r>
        <w:rPr>
          <w:rFonts w:eastAsia="Calibri" w:cs="Arial"/>
          <w:sz w:val="24"/>
          <w:szCs w:val="22"/>
        </w:rPr>
        <w:t>ember</w:t>
      </w:r>
      <w:r w:rsidRPr="00C36E90">
        <w:rPr>
          <w:rFonts w:eastAsia="Calibri" w:cs="Arial"/>
          <w:sz w:val="24"/>
          <w:szCs w:val="22"/>
        </w:rPr>
        <w:t xml:space="preserve"> 13th – 17th, 2023</w:t>
      </w:r>
    </w:p>
    <w:p w:rsidR="00BF7939" w:rsidRPr="00EA243B" w:rsidRDefault="00BF7939" w:rsidP="00BF7939">
      <w:pPr>
        <w:outlineLvl w:val="0"/>
        <w:rPr>
          <w:rFonts w:ascii="Arial" w:hAnsi="Arial" w:cs="Arial"/>
          <w:b/>
          <w:noProof/>
        </w:rPr>
      </w:pPr>
    </w:p>
    <w:p w:rsidR="00BF7939" w:rsidRPr="00EA243B" w:rsidRDefault="00BF7939" w:rsidP="009E49D5">
      <w:pPr>
        <w:pStyle w:val="CRCoverPage"/>
        <w:spacing w:before="240"/>
        <w:ind w:left="1980" w:hanging="1980"/>
        <w:rPr>
          <w:rFonts w:cs="Arial"/>
          <w:b/>
          <w:bCs/>
          <w:sz w:val="24"/>
        </w:rPr>
      </w:pPr>
      <w:r w:rsidRPr="00EA243B">
        <w:rPr>
          <w:rFonts w:cs="Arial"/>
          <w:b/>
          <w:bCs/>
          <w:sz w:val="24"/>
        </w:rPr>
        <w:t>Agenda item:</w:t>
      </w:r>
      <w:r w:rsidRPr="00EA243B">
        <w:rPr>
          <w:rFonts w:cs="Arial"/>
          <w:b/>
          <w:bCs/>
          <w:sz w:val="24"/>
        </w:rPr>
        <w:tab/>
      </w:r>
      <w:r w:rsidRPr="00132DF6">
        <w:rPr>
          <w:rFonts w:cs="Arial"/>
          <w:b/>
          <w:bCs/>
          <w:sz w:val="24"/>
        </w:rPr>
        <w:t>7.25.1.7</w:t>
      </w:r>
    </w:p>
    <w:p w:rsidR="00BF7939" w:rsidRPr="00EA243B" w:rsidRDefault="00BF7939" w:rsidP="009E49D5">
      <w:pPr>
        <w:tabs>
          <w:tab w:val="left" w:pos="1985"/>
        </w:tabs>
        <w:spacing w:before="240"/>
        <w:ind w:left="1985" w:hanging="1985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Source:</w:t>
      </w:r>
      <w:r w:rsidRPr="00EA243B">
        <w:rPr>
          <w:rFonts w:ascii="Arial" w:hAnsi="Arial" w:cs="Arial"/>
          <w:b/>
          <w:bCs/>
        </w:rPr>
        <w:tab/>
        <w:t>Samsung</w:t>
      </w:r>
      <w:r w:rsidRPr="00EA243B">
        <w:rPr>
          <w:rFonts w:ascii="Arial" w:hAnsi="Arial" w:cs="Arial"/>
          <w:b/>
          <w:bCs/>
        </w:rPr>
        <w:tab/>
      </w:r>
    </w:p>
    <w:p w:rsidR="00BF7939" w:rsidRPr="00EA243B" w:rsidRDefault="00BF7939" w:rsidP="009E49D5">
      <w:pPr>
        <w:spacing w:before="240"/>
        <w:ind w:left="1985" w:hanging="1985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Title:</w:t>
      </w:r>
      <w:r w:rsidRPr="00EA243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UE capability for </w:t>
      </w:r>
      <w:proofErr w:type="spellStart"/>
      <w:r>
        <w:rPr>
          <w:rFonts w:ascii="Arial" w:hAnsi="Arial" w:cs="Arial"/>
          <w:b/>
          <w:bCs/>
        </w:rPr>
        <w:t>TxD</w:t>
      </w:r>
      <w:proofErr w:type="spellEnd"/>
    </w:p>
    <w:p w:rsidR="00BF7939" w:rsidRPr="00EA243B" w:rsidRDefault="00BF7939" w:rsidP="009E49D5">
      <w:pPr>
        <w:spacing w:before="240"/>
        <w:ind w:left="1980" w:hanging="1980"/>
        <w:rPr>
          <w:rFonts w:ascii="Arial" w:hAnsi="Arial" w:cs="Arial"/>
          <w:b/>
          <w:bCs/>
        </w:rPr>
      </w:pPr>
      <w:r w:rsidRPr="00EA243B">
        <w:rPr>
          <w:rFonts w:ascii="Arial" w:hAnsi="Arial" w:cs="Arial"/>
          <w:b/>
          <w:bCs/>
        </w:rPr>
        <w:t>Document for:</w:t>
      </w:r>
      <w:r w:rsidRPr="00EA243B">
        <w:rPr>
          <w:rFonts w:ascii="Arial" w:hAnsi="Arial" w:cs="Arial"/>
          <w:b/>
          <w:bCs/>
        </w:rPr>
        <w:tab/>
        <w:t>Discussion &amp; Decision</w:t>
      </w:r>
    </w:p>
    <w:p w:rsidR="00BF7939" w:rsidRPr="00EA243B" w:rsidRDefault="00BF7939" w:rsidP="00BF7939">
      <w:pPr>
        <w:pStyle w:val="1"/>
        <w:rPr>
          <w:rFonts w:cs="Arial"/>
        </w:rPr>
      </w:pPr>
      <w:r w:rsidRPr="00EA243B">
        <w:rPr>
          <w:rFonts w:cs="Arial"/>
        </w:rPr>
        <w:t>Introduction</w:t>
      </w:r>
    </w:p>
    <w:p w:rsidR="00BF7939" w:rsidRDefault="0024302E" w:rsidP="009E49D5">
      <w:pPr>
        <w:ind w:left="0"/>
      </w:pPr>
      <w:r w:rsidRPr="009E49D5">
        <w:rPr>
          <w:rFonts w:asciiTheme="minorHAnsi" w:hAnsiTheme="minorHAnsi" w:cstheme="minorHAnsi"/>
          <w:lang w:eastAsia="en-US"/>
        </w:rPr>
        <w:t>RAN4</w:t>
      </w:r>
      <w:r>
        <w:rPr>
          <w:rFonts w:asciiTheme="minorHAnsi" w:hAnsiTheme="minorHAnsi" w:cstheme="minorHAnsi"/>
          <w:lang w:eastAsia="en-US"/>
        </w:rPr>
        <w:t xml:space="preserve"> sent two LSs regarding 4Tx </w:t>
      </w:r>
      <w:proofErr w:type="spellStart"/>
      <w:r>
        <w:rPr>
          <w:rFonts w:asciiTheme="minorHAnsi" w:hAnsiTheme="minorHAnsi" w:cstheme="minorHAnsi"/>
          <w:lang w:eastAsia="en-US"/>
        </w:rPr>
        <w:t>TxD</w:t>
      </w:r>
      <w:proofErr w:type="spellEnd"/>
      <w:r w:rsidR="0028768E">
        <w:rPr>
          <w:rFonts w:asciiTheme="minorHAnsi" w:hAnsiTheme="minorHAnsi" w:cstheme="minorHAnsi"/>
          <w:lang w:eastAsia="en-US"/>
        </w:rPr>
        <w:t xml:space="preserve"> [1]</w:t>
      </w:r>
      <w:r>
        <w:rPr>
          <w:rFonts w:asciiTheme="minorHAnsi" w:hAnsiTheme="minorHAnsi" w:cstheme="minorHAnsi"/>
          <w:lang w:eastAsia="en-US"/>
        </w:rPr>
        <w:t xml:space="preserve"> and 2Tx </w:t>
      </w:r>
      <w:proofErr w:type="spellStart"/>
      <w:r>
        <w:rPr>
          <w:rFonts w:asciiTheme="minorHAnsi" w:hAnsiTheme="minorHAnsi" w:cstheme="minorHAnsi"/>
          <w:lang w:eastAsia="en-US"/>
        </w:rPr>
        <w:t>TxD</w:t>
      </w:r>
      <w:proofErr w:type="spellEnd"/>
      <w:r>
        <w:rPr>
          <w:rFonts w:asciiTheme="minorHAnsi" w:hAnsiTheme="minorHAnsi" w:cstheme="minorHAnsi"/>
          <w:lang w:eastAsia="en-US"/>
        </w:rPr>
        <w:t xml:space="preserve"> </w:t>
      </w:r>
      <w:r w:rsidR="0028768E">
        <w:rPr>
          <w:rFonts w:asciiTheme="minorHAnsi" w:hAnsiTheme="minorHAnsi" w:cstheme="minorHAnsi"/>
          <w:lang w:eastAsia="en-US"/>
        </w:rPr>
        <w:t xml:space="preserve">[2] </w:t>
      </w:r>
      <w:r>
        <w:rPr>
          <w:rFonts w:asciiTheme="minorHAnsi" w:hAnsiTheme="minorHAnsi" w:cstheme="minorHAnsi"/>
          <w:lang w:eastAsia="en-US"/>
        </w:rPr>
        <w:t xml:space="preserve">capability signaling. We provide our view in this document. </w:t>
      </w:r>
    </w:p>
    <w:p w:rsidR="00BF7939" w:rsidRDefault="00BF7939"/>
    <w:p w:rsidR="00BF7939" w:rsidRDefault="00BF7939" w:rsidP="00BF7939">
      <w:pPr>
        <w:pStyle w:val="1"/>
        <w:rPr>
          <w:rFonts w:cs="Arial"/>
        </w:rPr>
      </w:pPr>
      <w:r>
        <w:rPr>
          <w:rFonts w:cs="Arial"/>
        </w:rPr>
        <w:t>4Tx</w:t>
      </w:r>
      <w:r w:rsidR="009E49D5">
        <w:rPr>
          <w:rFonts w:cs="Arial"/>
        </w:rPr>
        <w:t xml:space="preserve"> </w:t>
      </w:r>
      <w:proofErr w:type="spellStart"/>
      <w:r>
        <w:rPr>
          <w:rFonts w:cs="Arial"/>
        </w:rPr>
        <w:t>T</w:t>
      </w:r>
      <w:r w:rsidR="009E49D5">
        <w:rPr>
          <w:rFonts w:cs="Arial"/>
        </w:rPr>
        <w:t>x</w:t>
      </w:r>
      <w:r>
        <w:rPr>
          <w:rFonts w:cs="Arial"/>
        </w:rPr>
        <w:t>D</w:t>
      </w:r>
      <w:proofErr w:type="spellEnd"/>
    </w:p>
    <w:p w:rsidR="00BF7939" w:rsidRDefault="00BF7939" w:rsidP="00BF7939">
      <w:pPr>
        <w:ind w:left="0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RAN4 agreed to introduce a new per band per band combination UE capability to support 4Tx TD. </w:t>
      </w:r>
    </w:p>
    <w:p w:rsidR="00BF7939" w:rsidRPr="00722FBB" w:rsidRDefault="00BF7939" w:rsidP="00BF7939">
      <w:pPr>
        <w:rPr>
          <w:sz w:val="20"/>
          <w:szCs w:val="20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7939" w:rsidRPr="00722FBB" w:rsidTr="00BF7939">
        <w:tc>
          <w:tcPr>
            <w:tcW w:w="9350" w:type="dxa"/>
          </w:tcPr>
          <w:p w:rsidR="00BF7939" w:rsidRPr="00722FBB" w:rsidRDefault="00BF7939" w:rsidP="00BF7939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</w:pPr>
            <w:r w:rsidRPr="00722FBB">
              <w:rPr>
                <w:rFonts w:ascii="Arial" w:eastAsia="SimSun" w:hAnsi="Arial" w:cs="Arial" w:hint="eastAsia"/>
                <w:bCs/>
                <w:iCs/>
                <w:sz w:val="20"/>
                <w:szCs w:val="20"/>
                <w:lang w:eastAsia="zh-CN"/>
              </w:rPr>
              <w:t>I</w:t>
            </w:r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 xml:space="preserve">n RAN4#108bis, it is agreed to clarify that the legacy per-band </w:t>
            </w:r>
            <w:proofErr w:type="spellStart"/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>TxDiversity</w:t>
            </w:r>
            <w:proofErr w:type="spellEnd"/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 xml:space="preserve"> capability introduced from Rel-16 is for 2Tx only, and a new per band per band combination UE capability should be introduced to support </w:t>
            </w:r>
            <w:proofErr w:type="spellStart"/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>TxDiversity</w:t>
            </w:r>
            <w:proofErr w:type="spellEnd"/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 xml:space="preserve"> for 4Tx in the band configured.</w:t>
            </w:r>
          </w:p>
          <w:p w:rsidR="00BF7939" w:rsidRPr="00722FBB" w:rsidRDefault="00BF7939" w:rsidP="00BF7939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</w:pPr>
            <w:r w:rsidRPr="00722FBB">
              <w:rPr>
                <w:rFonts w:ascii="Arial" w:eastAsia="SimSun" w:hAnsi="Arial" w:cs="Arial"/>
                <w:bCs/>
                <w:iCs/>
                <w:sz w:val="20"/>
                <w:szCs w:val="20"/>
                <w:lang w:eastAsia="zh-CN"/>
              </w:rPr>
              <w:t>In addition, it is also agreed this new capability should be enabled from Rel-18.</w:t>
            </w:r>
          </w:p>
          <w:p w:rsidR="00BF7939" w:rsidRPr="00722FBB" w:rsidRDefault="00BF7939" w:rsidP="00BF7939">
            <w:pPr>
              <w:ind w:left="0"/>
              <w:rPr>
                <w:sz w:val="20"/>
                <w:szCs w:val="20"/>
                <w:lang w:eastAsia="en-US"/>
              </w:rPr>
            </w:pPr>
          </w:p>
        </w:tc>
      </w:tr>
    </w:tbl>
    <w:p w:rsidR="00BF7939" w:rsidRPr="00BF7939" w:rsidRDefault="00BF7939" w:rsidP="00BF7939">
      <w:pPr>
        <w:ind w:left="0"/>
        <w:rPr>
          <w:rFonts w:asciiTheme="minorHAnsi" w:hAnsiTheme="minorHAnsi" w:cstheme="minorHAnsi"/>
          <w:lang w:eastAsia="en-US"/>
        </w:rPr>
      </w:pPr>
    </w:p>
    <w:p w:rsidR="00BF7939" w:rsidRDefault="00BF7939" w:rsidP="00BF7939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 usual, per band/per band combination mentioned in RAN4 LS should be defined as FS capability. </w:t>
      </w:r>
    </w:p>
    <w:p w:rsidR="00BF7939" w:rsidRPr="00BF7939" w:rsidRDefault="00BF7939" w:rsidP="00BF7939">
      <w:pPr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1: 4Tx </w:t>
      </w:r>
      <w:proofErr w:type="spellStart"/>
      <w:r w:rsidRPr="00BF7939">
        <w:rPr>
          <w:rFonts w:asciiTheme="minorHAnsi" w:hAnsiTheme="minorHAnsi" w:cstheme="minorHAnsi"/>
          <w:b/>
        </w:rPr>
        <w:t>TxD</w:t>
      </w:r>
      <w:proofErr w:type="spellEnd"/>
      <w:r w:rsidRPr="00BF7939">
        <w:rPr>
          <w:rFonts w:asciiTheme="minorHAnsi" w:hAnsiTheme="minorHAnsi" w:cstheme="minorHAnsi"/>
          <w:b/>
        </w:rPr>
        <w:t xml:space="preserve"> support is defined in </w:t>
      </w:r>
      <w:proofErr w:type="spellStart"/>
      <w:r w:rsidRPr="00BF7939">
        <w:rPr>
          <w:rFonts w:asciiTheme="minorHAnsi" w:hAnsiTheme="minorHAnsi" w:cstheme="minorHAnsi"/>
          <w:b/>
        </w:rPr>
        <w:t>FeatureSetUplink</w:t>
      </w:r>
      <w:proofErr w:type="spellEnd"/>
      <w:r w:rsidRPr="00BF7939">
        <w:rPr>
          <w:rFonts w:asciiTheme="minorHAnsi" w:hAnsiTheme="minorHAnsi" w:cstheme="minorHAnsi"/>
          <w:b/>
        </w:rPr>
        <w:t xml:space="preserve">. </w:t>
      </w:r>
    </w:p>
    <w:p w:rsidR="00BF7939" w:rsidRDefault="00BF7939" w:rsidP="00BF7939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BF7939" w:rsidRDefault="00BF7939" w:rsidP="00BF7939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Our understanding is that 4Tx </w:t>
      </w:r>
      <w:proofErr w:type="spellStart"/>
      <w:r>
        <w:rPr>
          <w:rFonts w:asciiTheme="minorHAnsi" w:hAnsiTheme="minorHAnsi" w:cstheme="minorHAnsi"/>
        </w:rPr>
        <w:t>TxD</w:t>
      </w:r>
      <w:proofErr w:type="spellEnd"/>
      <w:r>
        <w:rPr>
          <w:rFonts w:asciiTheme="minorHAnsi" w:hAnsiTheme="minorHAnsi" w:cstheme="minorHAnsi"/>
        </w:rPr>
        <w:t xml:space="preserve"> will be applied to only non-CA band combination in this release. </w:t>
      </w:r>
    </w:p>
    <w:p w:rsidR="00BF7939" w:rsidRPr="00BF7939" w:rsidRDefault="00BF7939" w:rsidP="00BF7939">
      <w:pPr>
        <w:ind w:left="0"/>
        <w:rPr>
          <w:rFonts w:asciiTheme="minorHAnsi" w:hAnsiTheme="minorHAnsi" w:cstheme="minorHAnsi"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2</w:t>
      </w:r>
      <w:r w:rsidRPr="00BF7939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4Tx </w:t>
      </w:r>
      <w:proofErr w:type="spellStart"/>
      <w:r>
        <w:rPr>
          <w:rFonts w:asciiTheme="minorHAnsi" w:hAnsiTheme="minorHAnsi" w:cstheme="minorHAnsi"/>
          <w:b/>
        </w:rPr>
        <w:t>TxD</w:t>
      </w:r>
      <w:proofErr w:type="spellEnd"/>
      <w:r>
        <w:rPr>
          <w:rFonts w:asciiTheme="minorHAnsi" w:hAnsiTheme="minorHAnsi" w:cstheme="minorHAnsi"/>
          <w:b/>
        </w:rPr>
        <w:t xml:space="preserve"> is supported in non-CA band combination only in Rel-18. </w:t>
      </w:r>
    </w:p>
    <w:p w:rsidR="00BF7939" w:rsidRPr="00BF7939" w:rsidRDefault="00BF7939">
      <w:pPr>
        <w:rPr>
          <w:rFonts w:asciiTheme="minorHAnsi" w:hAnsiTheme="minorHAnsi" w:cstheme="minorHAnsi"/>
        </w:rPr>
      </w:pPr>
    </w:p>
    <w:p w:rsidR="00BF7939" w:rsidRDefault="00BF7939" w:rsidP="00BF7939">
      <w:pPr>
        <w:pStyle w:val="1"/>
        <w:rPr>
          <w:rFonts w:cs="Arial"/>
        </w:rPr>
      </w:pPr>
      <w:r>
        <w:rPr>
          <w:rFonts w:cs="Arial"/>
        </w:rPr>
        <w:t>2Tx</w:t>
      </w:r>
      <w:r w:rsidR="009E49D5">
        <w:rPr>
          <w:rFonts w:cs="Arial"/>
        </w:rPr>
        <w:t xml:space="preserve"> </w:t>
      </w:r>
      <w:proofErr w:type="spellStart"/>
      <w:r>
        <w:rPr>
          <w:rFonts w:cs="Arial"/>
        </w:rPr>
        <w:t>TxD</w:t>
      </w:r>
      <w:proofErr w:type="spellEnd"/>
    </w:p>
    <w:p w:rsidR="00BF7939" w:rsidRDefault="00BF7939" w:rsidP="00BF7939">
      <w:pPr>
        <w:spacing w:before="150" w:after="150"/>
        <w:ind w:left="0" w:right="30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RAN4 agrees to introduce additional capability signaling for 2Tx TxD.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7939" w:rsidTr="00BF7939">
        <w:tc>
          <w:tcPr>
            <w:tcW w:w="9350" w:type="dxa"/>
          </w:tcPr>
          <w:p w:rsidR="00BF7939" w:rsidRDefault="00BF7939" w:rsidP="009E49D5">
            <w:pPr>
              <w:pStyle w:val="a4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 xml:space="preserve">It was agreed in RAN4 that a new per band per band combination UE capability would be required to indicate support of </w:t>
            </w:r>
            <w:proofErr w:type="spellStart"/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>TxD</w:t>
            </w:r>
            <w:proofErr w:type="spellEnd"/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 xml:space="preserve"> </w:t>
            </w:r>
            <w:r w:rsidRPr="00257182">
              <w:rPr>
                <w:rFonts w:eastAsia="SimSun" w:cs="Arial"/>
                <w:b w:val="0"/>
                <w:noProof w:val="0"/>
                <w:sz w:val="20"/>
                <w:lang w:eastAsia="zh-CN"/>
              </w:rPr>
              <w:t>in the band configured with 2Tx</w:t>
            </w:r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 xml:space="preserve">. It was also agreed that the new </w:t>
            </w:r>
            <w:proofErr w:type="spellStart"/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>TxD</w:t>
            </w:r>
            <w:proofErr w:type="spellEnd"/>
            <w:r>
              <w:rPr>
                <w:rFonts w:eastAsia="SimSun" w:cs="Arial"/>
                <w:b w:val="0"/>
                <w:noProof w:val="0"/>
                <w:sz w:val="20"/>
                <w:lang w:eastAsia="zh-CN"/>
              </w:rPr>
              <w:t xml:space="preserve"> capability should be enabled from Rel-18.</w:t>
            </w:r>
          </w:p>
        </w:tc>
      </w:tr>
    </w:tbl>
    <w:p w:rsidR="00BF7939" w:rsidRDefault="00BF7939" w:rsidP="00BF7939">
      <w:pPr>
        <w:spacing w:before="150" w:after="150"/>
        <w:ind w:left="0" w:right="30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It seems straightforward to introduce 2Tx </w:t>
      </w:r>
      <w:proofErr w:type="spellStart"/>
      <w:r>
        <w:rPr>
          <w:rFonts w:ascii="Calibri" w:hAnsi="Calibri"/>
          <w:sz w:val="22"/>
          <w:szCs w:val="22"/>
        </w:rPr>
        <w:t>TxD</w:t>
      </w:r>
      <w:proofErr w:type="spellEnd"/>
      <w:r>
        <w:rPr>
          <w:rFonts w:ascii="Calibri" w:hAnsi="Calibri"/>
          <w:sz w:val="22"/>
          <w:szCs w:val="22"/>
        </w:rPr>
        <w:t xml:space="preserve"> as per band per band combination capability. Same as 4Tx </w:t>
      </w:r>
      <w:proofErr w:type="spellStart"/>
      <w:r>
        <w:rPr>
          <w:rFonts w:ascii="Calibri" w:hAnsi="Calibri"/>
          <w:sz w:val="22"/>
          <w:szCs w:val="22"/>
        </w:rPr>
        <w:t>TxD</w:t>
      </w:r>
      <w:proofErr w:type="spellEnd"/>
      <w:r>
        <w:rPr>
          <w:rFonts w:ascii="Calibri" w:hAnsi="Calibri"/>
          <w:sz w:val="22"/>
          <w:szCs w:val="22"/>
        </w:rPr>
        <w:t xml:space="preserve">, the support 2Tx </w:t>
      </w:r>
      <w:proofErr w:type="spellStart"/>
      <w:r>
        <w:rPr>
          <w:rFonts w:ascii="Calibri" w:hAnsi="Calibri"/>
          <w:sz w:val="22"/>
          <w:szCs w:val="22"/>
        </w:rPr>
        <w:t>TxD</w:t>
      </w:r>
      <w:proofErr w:type="spellEnd"/>
      <w:r>
        <w:rPr>
          <w:rFonts w:ascii="Calibri" w:hAnsi="Calibri"/>
          <w:sz w:val="22"/>
          <w:szCs w:val="22"/>
        </w:rPr>
        <w:t xml:space="preserve"> should be defined as FS capability. </w:t>
      </w:r>
    </w:p>
    <w:p w:rsidR="00BF7939" w:rsidRPr="00BF7939" w:rsidRDefault="00BF7939" w:rsidP="00BF7939">
      <w:pPr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 w:rsidR="001C125C">
        <w:rPr>
          <w:rFonts w:asciiTheme="minorHAnsi" w:hAnsiTheme="minorHAnsi" w:cstheme="minorHAnsi"/>
          <w:b/>
        </w:rPr>
        <w:t>3</w:t>
      </w:r>
      <w:r w:rsidRPr="00BF7939">
        <w:rPr>
          <w:rFonts w:asciiTheme="minorHAnsi" w:hAnsiTheme="minorHAnsi" w:cstheme="minorHAnsi"/>
          <w:b/>
        </w:rPr>
        <w:t xml:space="preserve">: </w:t>
      </w:r>
      <w:r w:rsidR="00136AED">
        <w:rPr>
          <w:rFonts w:asciiTheme="minorHAnsi" w:hAnsiTheme="minorHAnsi" w:cstheme="minorHAnsi"/>
          <w:b/>
        </w:rPr>
        <w:t>A</w:t>
      </w:r>
      <w:r w:rsidR="00A83063">
        <w:rPr>
          <w:rFonts w:asciiTheme="minorHAnsi" w:hAnsiTheme="minorHAnsi" w:cstheme="minorHAnsi"/>
          <w:b/>
        </w:rPr>
        <w:t xml:space="preserve"> new UE capability for </w:t>
      </w:r>
      <w:r>
        <w:rPr>
          <w:rFonts w:asciiTheme="minorHAnsi" w:hAnsiTheme="minorHAnsi" w:cstheme="minorHAnsi"/>
          <w:b/>
        </w:rPr>
        <w:t>2</w:t>
      </w:r>
      <w:r w:rsidRPr="00BF7939">
        <w:rPr>
          <w:rFonts w:asciiTheme="minorHAnsi" w:hAnsiTheme="minorHAnsi" w:cstheme="minorHAnsi"/>
          <w:b/>
        </w:rPr>
        <w:t xml:space="preserve">Tx </w:t>
      </w:r>
      <w:proofErr w:type="spellStart"/>
      <w:r w:rsidRPr="00BF7939">
        <w:rPr>
          <w:rFonts w:asciiTheme="minorHAnsi" w:hAnsiTheme="minorHAnsi" w:cstheme="minorHAnsi"/>
          <w:b/>
        </w:rPr>
        <w:t>TxD</w:t>
      </w:r>
      <w:proofErr w:type="spellEnd"/>
      <w:r w:rsidRPr="00BF7939">
        <w:rPr>
          <w:rFonts w:asciiTheme="minorHAnsi" w:hAnsiTheme="minorHAnsi" w:cstheme="minorHAnsi"/>
          <w:b/>
        </w:rPr>
        <w:t xml:space="preserve"> support is defined in </w:t>
      </w:r>
      <w:proofErr w:type="spellStart"/>
      <w:r w:rsidRPr="00BF7939">
        <w:rPr>
          <w:rFonts w:asciiTheme="minorHAnsi" w:hAnsiTheme="minorHAnsi" w:cstheme="minorHAnsi"/>
          <w:b/>
        </w:rPr>
        <w:t>FeatureSetUplink</w:t>
      </w:r>
      <w:proofErr w:type="spellEnd"/>
      <w:r w:rsidRPr="00BF7939">
        <w:rPr>
          <w:rFonts w:asciiTheme="minorHAnsi" w:hAnsiTheme="minorHAnsi" w:cstheme="minorHAnsi"/>
          <w:b/>
        </w:rPr>
        <w:t xml:space="preserve">. </w:t>
      </w:r>
    </w:p>
    <w:p w:rsidR="00BF7939" w:rsidRDefault="001C125C" w:rsidP="00BF7939">
      <w:pPr>
        <w:spacing w:before="150" w:after="150"/>
        <w:ind w:left="0" w:right="30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BF7939">
        <w:rPr>
          <w:rFonts w:ascii="Calibri" w:hAnsi="Calibri"/>
          <w:sz w:val="22"/>
          <w:szCs w:val="22"/>
        </w:rPr>
        <w:t>f a new capability per band/</w:t>
      </w:r>
      <w:proofErr w:type="spellStart"/>
      <w:r w:rsidR="00BF7939">
        <w:rPr>
          <w:rFonts w:ascii="Calibri" w:hAnsi="Calibri"/>
          <w:sz w:val="22"/>
          <w:szCs w:val="22"/>
        </w:rPr>
        <w:t>perBC</w:t>
      </w:r>
      <w:proofErr w:type="spellEnd"/>
      <w:r w:rsidR="00BF7939">
        <w:rPr>
          <w:rFonts w:ascii="Calibri" w:hAnsi="Calibri"/>
          <w:sz w:val="22"/>
          <w:szCs w:val="22"/>
        </w:rPr>
        <w:t xml:space="preserve"> is introduced, the relationship between existing capability </w:t>
      </w:r>
      <w:proofErr w:type="spellStart"/>
      <w:r w:rsidR="00BF7939">
        <w:rPr>
          <w:rFonts w:ascii="Calibri" w:hAnsi="Calibri"/>
          <w:sz w:val="22"/>
          <w:szCs w:val="22"/>
        </w:rPr>
        <w:t>capability</w:t>
      </w:r>
      <w:proofErr w:type="spellEnd"/>
      <w:r w:rsidR="00BF7939">
        <w:rPr>
          <w:rFonts w:ascii="Calibri" w:hAnsi="Calibri"/>
          <w:sz w:val="22"/>
          <w:szCs w:val="22"/>
        </w:rPr>
        <w:t xml:space="preserve"> and this new per band/</w:t>
      </w:r>
      <w:proofErr w:type="spellStart"/>
      <w:r w:rsidR="00BF7939">
        <w:rPr>
          <w:rFonts w:ascii="Calibri" w:hAnsi="Calibri"/>
          <w:sz w:val="22"/>
          <w:szCs w:val="22"/>
        </w:rPr>
        <w:t>perBC</w:t>
      </w:r>
      <w:proofErr w:type="spellEnd"/>
      <w:r w:rsidR="00BF7939">
        <w:rPr>
          <w:rFonts w:ascii="Calibri" w:hAnsi="Calibri"/>
          <w:sz w:val="22"/>
          <w:szCs w:val="22"/>
        </w:rPr>
        <w:t xml:space="preserve"> should be clarified. It seems there are two. </w:t>
      </w:r>
    </w:p>
    <w:p w:rsidR="00BF7939" w:rsidRDefault="00BF7939" w:rsidP="00BF7939">
      <w:pPr>
        <w:pStyle w:val="a3"/>
        <w:numPr>
          <w:ilvl w:val="0"/>
          <w:numId w:val="1"/>
        </w:numPr>
        <w:spacing w:after="150"/>
        <w:ind w:leftChars="0" w:right="4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Approach 1: new capability is included in a certain band/BC, it will override per band capability for this band/BC. Otherwise, the UE applies per band capability. </w:t>
      </w:r>
      <w:r w:rsidR="001C125C">
        <w:rPr>
          <w:rFonts w:ascii="Calibri" w:hAnsi="Calibri"/>
          <w:sz w:val="22"/>
          <w:szCs w:val="22"/>
        </w:rPr>
        <w:t xml:space="preserve">The presence of new capability signaling requires the support of </w:t>
      </w:r>
      <w:r w:rsidR="001C125C" w:rsidRPr="001C125C">
        <w:rPr>
          <w:rFonts w:ascii="Calibri" w:hAnsi="Calibri"/>
          <w:sz w:val="22"/>
          <w:szCs w:val="22"/>
        </w:rPr>
        <w:t>txDiversity-r16</w:t>
      </w:r>
      <w:r w:rsidR="001C125C">
        <w:rPr>
          <w:rFonts w:ascii="Calibri" w:hAnsi="Calibri"/>
          <w:sz w:val="22"/>
          <w:szCs w:val="22"/>
        </w:rPr>
        <w:t xml:space="preserve">. In case of absence of the signaling follows </w:t>
      </w:r>
      <w:r w:rsidR="001C125C" w:rsidRPr="001C125C">
        <w:rPr>
          <w:rFonts w:ascii="Calibri" w:hAnsi="Calibri"/>
          <w:sz w:val="22"/>
          <w:szCs w:val="22"/>
        </w:rPr>
        <w:t>txDiversity-r16</w:t>
      </w:r>
      <w:r w:rsidR="001C125C">
        <w:rPr>
          <w:rFonts w:ascii="Calibri" w:hAnsi="Calibri"/>
          <w:sz w:val="22"/>
          <w:szCs w:val="22"/>
        </w:rPr>
        <w:t xml:space="preserve"> in the corresponding band.</w:t>
      </w:r>
    </w:p>
    <w:p w:rsidR="00A83063" w:rsidRDefault="00BF7939" w:rsidP="00BF7939">
      <w:pPr>
        <w:pStyle w:val="a3"/>
        <w:numPr>
          <w:ilvl w:val="0"/>
          <w:numId w:val="1"/>
        </w:numPr>
        <w:spacing w:after="150"/>
        <w:ind w:leftChars="0" w:right="4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Approach 2: existing capability is applied to non-CA only. New capability should be applied for CA band combination. </w:t>
      </w:r>
      <w:r w:rsidR="001C125C">
        <w:rPr>
          <w:rFonts w:ascii="Calibri" w:hAnsi="Calibri"/>
          <w:sz w:val="22"/>
          <w:szCs w:val="22"/>
        </w:rPr>
        <w:t xml:space="preserve">It means the absence of new capability signaling means no support of </w:t>
      </w:r>
      <w:proofErr w:type="spellStart"/>
      <w:r w:rsidR="001C125C">
        <w:rPr>
          <w:rFonts w:ascii="Calibri" w:hAnsi="Calibri"/>
          <w:sz w:val="22"/>
          <w:szCs w:val="22"/>
        </w:rPr>
        <w:t>tx</w:t>
      </w:r>
      <w:proofErr w:type="spellEnd"/>
      <w:r w:rsidR="001C125C">
        <w:rPr>
          <w:rFonts w:ascii="Calibri" w:hAnsi="Calibri"/>
          <w:sz w:val="22"/>
          <w:szCs w:val="22"/>
        </w:rPr>
        <w:t xml:space="preserve"> diversity in the band/band combination. </w:t>
      </w:r>
    </w:p>
    <w:p w:rsidR="005D7796" w:rsidRDefault="005D7796" w:rsidP="00BF7939">
      <w:pPr>
        <w:pStyle w:val="a3"/>
        <w:numPr>
          <w:ilvl w:val="0"/>
          <w:numId w:val="1"/>
        </w:numPr>
        <w:spacing w:after="150"/>
        <w:ind w:leftChars="0" w:right="45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Approach 3: </w:t>
      </w:r>
      <w:r w:rsidRPr="005D7796">
        <w:rPr>
          <w:rFonts w:ascii="Calibri" w:hAnsi="Calibri"/>
          <w:sz w:val="22"/>
          <w:szCs w:val="22"/>
        </w:rPr>
        <w:t xml:space="preserve">existing capability is applied to non-CA only. New capability should be applied for CA band combination. It means the absence of new capability signaling means no support of </w:t>
      </w:r>
      <w:proofErr w:type="spellStart"/>
      <w:r w:rsidRPr="005D7796">
        <w:rPr>
          <w:rFonts w:ascii="Calibri" w:hAnsi="Calibri"/>
          <w:sz w:val="22"/>
          <w:szCs w:val="22"/>
        </w:rPr>
        <w:t>tx</w:t>
      </w:r>
      <w:proofErr w:type="spellEnd"/>
      <w:r w:rsidRPr="005D7796">
        <w:rPr>
          <w:rFonts w:ascii="Calibri" w:hAnsi="Calibri"/>
          <w:sz w:val="22"/>
          <w:szCs w:val="22"/>
        </w:rPr>
        <w:t xml:space="preserve"> diversity in the band/band combination. The presence of new capability signaling requires </w:t>
      </w:r>
      <w:r>
        <w:rPr>
          <w:rFonts w:ascii="Calibri" w:hAnsi="Calibri"/>
          <w:sz w:val="22"/>
          <w:szCs w:val="22"/>
        </w:rPr>
        <w:t>to follow</w:t>
      </w:r>
      <w:r w:rsidRPr="005D7796">
        <w:rPr>
          <w:rFonts w:ascii="Calibri" w:hAnsi="Calibri"/>
          <w:sz w:val="22"/>
          <w:szCs w:val="22"/>
        </w:rPr>
        <w:t xml:space="preserve"> txDiversity-r16</w:t>
      </w:r>
      <w:r>
        <w:rPr>
          <w:rFonts w:ascii="Calibri" w:hAnsi="Calibri"/>
          <w:sz w:val="22"/>
          <w:szCs w:val="22"/>
        </w:rPr>
        <w:t>.</w:t>
      </w:r>
    </w:p>
    <w:p w:rsidR="001C125C" w:rsidRPr="009E49D5" w:rsidRDefault="001C125C" w:rsidP="001C125C">
      <w:pPr>
        <w:ind w:left="0"/>
        <w:rPr>
          <w:rFonts w:asciiTheme="minorHAnsi" w:hAnsiTheme="minorHAnsi" w:cstheme="minorHAnsi"/>
          <w:sz w:val="22"/>
          <w:szCs w:val="22"/>
        </w:rPr>
      </w:pPr>
      <w:r w:rsidRPr="009E49D5">
        <w:rPr>
          <w:rFonts w:asciiTheme="minorHAnsi" w:hAnsiTheme="minorHAnsi" w:cstheme="minorHAnsi"/>
          <w:sz w:val="22"/>
          <w:szCs w:val="22"/>
        </w:rPr>
        <w:t xml:space="preserve">It is our understanding that similar to 4Tx </w:t>
      </w:r>
      <w:proofErr w:type="spellStart"/>
      <w:r w:rsidRPr="009E49D5">
        <w:rPr>
          <w:rFonts w:asciiTheme="minorHAnsi" w:hAnsiTheme="minorHAnsi" w:cstheme="minorHAnsi"/>
          <w:sz w:val="22"/>
          <w:szCs w:val="22"/>
        </w:rPr>
        <w:t>TxD</w:t>
      </w:r>
      <w:proofErr w:type="spellEnd"/>
      <w:r w:rsidRPr="009E49D5">
        <w:rPr>
          <w:rFonts w:asciiTheme="minorHAnsi" w:hAnsiTheme="minorHAnsi" w:cstheme="minorHAnsi"/>
          <w:sz w:val="22"/>
          <w:szCs w:val="22"/>
        </w:rPr>
        <w:t xml:space="preserve">, RAN4 assume that </w:t>
      </w:r>
      <w:r w:rsidR="005D7796" w:rsidRPr="009E49D5">
        <w:rPr>
          <w:rFonts w:asciiTheme="minorHAnsi" w:hAnsiTheme="minorHAnsi" w:cstheme="minorHAnsi"/>
          <w:sz w:val="22"/>
          <w:szCs w:val="22"/>
        </w:rPr>
        <w:t xml:space="preserve">2Tx </w:t>
      </w:r>
      <w:proofErr w:type="spellStart"/>
      <w:r w:rsidRPr="009E49D5">
        <w:rPr>
          <w:rFonts w:asciiTheme="minorHAnsi" w:hAnsiTheme="minorHAnsi" w:cstheme="minorHAnsi"/>
          <w:sz w:val="22"/>
          <w:szCs w:val="22"/>
        </w:rPr>
        <w:t>TxD</w:t>
      </w:r>
      <w:proofErr w:type="spellEnd"/>
      <w:r w:rsidRPr="009E49D5">
        <w:rPr>
          <w:rFonts w:asciiTheme="minorHAnsi" w:hAnsiTheme="minorHAnsi" w:cstheme="minorHAnsi"/>
          <w:sz w:val="22"/>
          <w:szCs w:val="22"/>
        </w:rPr>
        <w:t xml:space="preserve"> in Rel-16 is applied to non-CA. The new capability signaling will be used for CA band combination. In that sense, approach 2 </w:t>
      </w:r>
      <w:r w:rsidR="005D7796" w:rsidRPr="009E49D5">
        <w:rPr>
          <w:rFonts w:asciiTheme="minorHAnsi" w:hAnsiTheme="minorHAnsi" w:cstheme="minorHAnsi"/>
          <w:sz w:val="22"/>
          <w:szCs w:val="22"/>
        </w:rPr>
        <w:t xml:space="preserve">or approach 3 </w:t>
      </w:r>
      <w:r w:rsidRPr="009E49D5">
        <w:rPr>
          <w:rFonts w:asciiTheme="minorHAnsi" w:hAnsiTheme="minorHAnsi" w:cstheme="minorHAnsi"/>
          <w:sz w:val="22"/>
          <w:szCs w:val="22"/>
        </w:rPr>
        <w:t xml:space="preserve">should be reasonable. </w:t>
      </w:r>
    </w:p>
    <w:p w:rsidR="00BF7939" w:rsidRDefault="001C125C" w:rsidP="001C125C">
      <w:pPr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1C125C" w:rsidRDefault="001C125C" w:rsidP="00A83063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4</w:t>
      </w:r>
      <w:r w:rsidRPr="00BF7939">
        <w:rPr>
          <w:rFonts w:asciiTheme="minorHAnsi" w:hAnsiTheme="minorHAnsi" w:cstheme="minorHAnsi"/>
          <w:b/>
        </w:rPr>
        <w:t xml:space="preserve">: </w:t>
      </w:r>
      <w:r w:rsidRPr="001C125C">
        <w:rPr>
          <w:rFonts w:asciiTheme="minorHAnsi" w:hAnsiTheme="minorHAnsi" w:cstheme="minorHAnsi"/>
          <w:b/>
        </w:rPr>
        <w:t>txDiversity-r16</w:t>
      </w:r>
      <w:r>
        <w:rPr>
          <w:rFonts w:asciiTheme="minorHAnsi" w:hAnsiTheme="minorHAnsi" w:cstheme="minorHAnsi"/>
          <w:b/>
        </w:rPr>
        <w:t xml:space="preserve"> is applied to non-CA and new UE capability signaling is used for CA band com</w:t>
      </w:r>
      <w:r w:rsidR="00A83063">
        <w:rPr>
          <w:rFonts w:asciiTheme="minorHAnsi" w:hAnsiTheme="minorHAnsi" w:cstheme="minorHAnsi"/>
          <w:b/>
        </w:rPr>
        <w:t>bination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1C125C" w:rsidRDefault="001C125C" w:rsidP="00A83063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5</w:t>
      </w:r>
      <w:r w:rsidRPr="00BF7939">
        <w:rPr>
          <w:rFonts w:asciiTheme="minorHAnsi" w:hAnsiTheme="minorHAnsi" w:cstheme="minorHAnsi"/>
          <w:b/>
        </w:rPr>
        <w:t xml:space="preserve">: </w:t>
      </w:r>
      <w:r w:rsidR="00136AED">
        <w:rPr>
          <w:rFonts w:asciiTheme="minorHAnsi" w:hAnsiTheme="minorHAnsi" w:cstheme="minorHAnsi" w:hint="eastAsia"/>
          <w:b/>
        </w:rPr>
        <w:t xml:space="preserve"> N</w:t>
      </w:r>
      <w:r>
        <w:rPr>
          <w:rFonts w:asciiTheme="minorHAnsi" w:hAnsiTheme="minorHAnsi" w:cstheme="minorHAnsi"/>
          <w:b/>
        </w:rPr>
        <w:t>ew UE capability signaling doesn’t require the support of txDiversity-16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1C125C" w:rsidRDefault="001C125C" w:rsidP="00A83063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6</w:t>
      </w:r>
      <w:r w:rsidRPr="00BF7939">
        <w:rPr>
          <w:rFonts w:asciiTheme="minorHAnsi" w:hAnsiTheme="minorHAnsi" w:cstheme="minorHAnsi"/>
          <w:b/>
        </w:rPr>
        <w:t xml:space="preserve">: </w:t>
      </w:r>
      <w:r w:rsidR="005D7796">
        <w:rPr>
          <w:rFonts w:asciiTheme="minorHAnsi" w:hAnsiTheme="minorHAnsi" w:cstheme="minorHAnsi"/>
          <w:b/>
        </w:rPr>
        <w:t xml:space="preserve">RAN2 discuss whether </w:t>
      </w:r>
      <w:r w:rsidRPr="001C125C">
        <w:rPr>
          <w:rFonts w:asciiTheme="minorHAnsi" w:hAnsiTheme="minorHAnsi" w:cstheme="minorHAnsi"/>
          <w:b/>
        </w:rPr>
        <w:t xml:space="preserve">the absence of new capability signaling means </w:t>
      </w:r>
      <w:r w:rsidR="005D7796">
        <w:rPr>
          <w:rFonts w:asciiTheme="minorHAnsi" w:hAnsiTheme="minorHAnsi" w:cstheme="minorHAnsi"/>
          <w:b/>
        </w:rPr>
        <w:t xml:space="preserve">1) </w:t>
      </w:r>
      <w:r w:rsidRPr="001C125C">
        <w:rPr>
          <w:rFonts w:asciiTheme="minorHAnsi" w:hAnsiTheme="minorHAnsi" w:cstheme="minorHAnsi"/>
          <w:b/>
        </w:rPr>
        <w:t xml:space="preserve">no support of </w:t>
      </w:r>
      <w:proofErr w:type="spellStart"/>
      <w:r w:rsidRPr="001C125C">
        <w:rPr>
          <w:rFonts w:asciiTheme="minorHAnsi" w:hAnsiTheme="minorHAnsi" w:cstheme="minorHAnsi"/>
          <w:b/>
        </w:rPr>
        <w:t>tx</w:t>
      </w:r>
      <w:proofErr w:type="spellEnd"/>
      <w:r w:rsidRPr="001C125C">
        <w:rPr>
          <w:rFonts w:asciiTheme="minorHAnsi" w:hAnsiTheme="minorHAnsi" w:cstheme="minorHAnsi"/>
          <w:b/>
        </w:rPr>
        <w:t xml:space="preserve"> diversity</w:t>
      </w:r>
      <w:r w:rsidR="005D7796">
        <w:rPr>
          <w:rFonts w:asciiTheme="minorHAnsi" w:hAnsiTheme="minorHAnsi" w:cstheme="minorHAnsi"/>
          <w:b/>
        </w:rPr>
        <w:t xml:space="preserve"> or 2) follow </w:t>
      </w:r>
      <w:r w:rsidR="005D7796" w:rsidRPr="005D7796">
        <w:rPr>
          <w:rFonts w:asciiTheme="minorHAnsi" w:hAnsiTheme="minorHAnsi" w:cstheme="minorHAnsi"/>
          <w:b/>
        </w:rPr>
        <w:t>txDiversity-r16</w:t>
      </w:r>
      <w:r w:rsidRPr="001C125C">
        <w:rPr>
          <w:rFonts w:asciiTheme="minorHAnsi" w:hAnsiTheme="minorHAnsi" w:cstheme="minorHAnsi"/>
          <w:b/>
        </w:rPr>
        <w:t xml:space="preserve"> in the </w:t>
      </w:r>
      <w:r w:rsidR="005D7796">
        <w:rPr>
          <w:rFonts w:asciiTheme="minorHAnsi" w:hAnsiTheme="minorHAnsi" w:cstheme="minorHAnsi"/>
          <w:b/>
        </w:rPr>
        <w:t xml:space="preserve">corresponding </w:t>
      </w:r>
      <w:r w:rsidRPr="001C125C">
        <w:rPr>
          <w:rFonts w:asciiTheme="minorHAnsi" w:hAnsiTheme="minorHAnsi" w:cstheme="minorHAnsi"/>
          <w:b/>
        </w:rPr>
        <w:t>band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28768E" w:rsidRDefault="0028768E" w:rsidP="001C125C">
      <w:pPr>
        <w:ind w:left="0"/>
        <w:rPr>
          <w:rFonts w:asciiTheme="minorHAnsi" w:hAnsiTheme="minorHAnsi" w:cstheme="minorHAnsi"/>
          <w:b/>
        </w:rPr>
      </w:pPr>
    </w:p>
    <w:p w:rsidR="0028768E" w:rsidRDefault="0028768E" w:rsidP="0028768E">
      <w:pPr>
        <w:pStyle w:val="1"/>
        <w:rPr>
          <w:rFonts w:cs="Arial"/>
        </w:rPr>
      </w:pPr>
      <w:r>
        <w:rPr>
          <w:rFonts w:cs="Arial"/>
        </w:rPr>
        <w:t>Conclusion</w:t>
      </w:r>
    </w:p>
    <w:p w:rsidR="0028768E" w:rsidRDefault="009E49D5" w:rsidP="009E49D5">
      <w:pPr>
        <w:ind w:left="0"/>
        <w:rPr>
          <w:rFonts w:asciiTheme="minorHAnsi" w:hAnsiTheme="minorHAnsi" w:cstheme="minorHAnsi"/>
          <w:sz w:val="22"/>
          <w:szCs w:val="22"/>
        </w:rPr>
      </w:pPr>
      <w:r w:rsidRPr="009E49D5">
        <w:rPr>
          <w:rFonts w:asciiTheme="minorHAnsi" w:hAnsiTheme="minorHAnsi" w:cstheme="minorHAnsi"/>
          <w:sz w:val="22"/>
          <w:szCs w:val="22"/>
        </w:rPr>
        <w:t>Based</w:t>
      </w:r>
      <w:r>
        <w:rPr>
          <w:rFonts w:asciiTheme="minorHAnsi" w:hAnsiTheme="minorHAnsi" w:cstheme="minorHAnsi"/>
          <w:sz w:val="22"/>
          <w:szCs w:val="22"/>
        </w:rPr>
        <w:t xml:space="preserve"> on the discussion, we propose the following points. </w:t>
      </w:r>
    </w:p>
    <w:p w:rsidR="009E49D5" w:rsidRPr="009E49D5" w:rsidRDefault="009E49D5" w:rsidP="009E49D5">
      <w:pPr>
        <w:ind w:left="0"/>
        <w:rPr>
          <w:rFonts w:asciiTheme="minorHAnsi" w:hAnsiTheme="minorHAnsi" w:cstheme="minorHAnsi"/>
          <w:sz w:val="22"/>
          <w:szCs w:val="22"/>
        </w:rPr>
      </w:pPr>
    </w:p>
    <w:p w:rsidR="009E49D5" w:rsidRPr="00BF7939" w:rsidRDefault="009E49D5" w:rsidP="009E49D5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1: 4Tx </w:t>
      </w:r>
      <w:proofErr w:type="spellStart"/>
      <w:r w:rsidRPr="00BF7939">
        <w:rPr>
          <w:rFonts w:asciiTheme="minorHAnsi" w:hAnsiTheme="minorHAnsi" w:cstheme="minorHAnsi"/>
          <w:b/>
        </w:rPr>
        <w:t>TxD</w:t>
      </w:r>
      <w:proofErr w:type="spellEnd"/>
      <w:r w:rsidRPr="00BF7939">
        <w:rPr>
          <w:rFonts w:asciiTheme="minorHAnsi" w:hAnsiTheme="minorHAnsi" w:cstheme="minorHAnsi"/>
          <w:b/>
        </w:rPr>
        <w:t xml:space="preserve"> support is defined in </w:t>
      </w:r>
      <w:proofErr w:type="spellStart"/>
      <w:r w:rsidRPr="00BF7939">
        <w:rPr>
          <w:rFonts w:asciiTheme="minorHAnsi" w:hAnsiTheme="minorHAnsi" w:cstheme="minorHAnsi"/>
          <w:b/>
        </w:rPr>
        <w:t>FeatureSetUplink</w:t>
      </w:r>
      <w:proofErr w:type="spellEnd"/>
      <w:r w:rsidRPr="00BF7939">
        <w:rPr>
          <w:rFonts w:asciiTheme="minorHAnsi" w:hAnsiTheme="minorHAnsi" w:cstheme="minorHAnsi"/>
          <w:b/>
        </w:rPr>
        <w:t xml:space="preserve">. </w:t>
      </w:r>
    </w:p>
    <w:p w:rsidR="009E49D5" w:rsidRPr="00BF7939" w:rsidRDefault="009E49D5" w:rsidP="009E49D5">
      <w:pPr>
        <w:spacing w:after="240"/>
        <w:ind w:left="0"/>
        <w:rPr>
          <w:rFonts w:asciiTheme="minorHAnsi" w:hAnsiTheme="minorHAnsi" w:cstheme="minorHAnsi"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2</w:t>
      </w:r>
      <w:r w:rsidRPr="00BF7939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4Tx </w:t>
      </w:r>
      <w:proofErr w:type="spellStart"/>
      <w:r>
        <w:rPr>
          <w:rFonts w:asciiTheme="minorHAnsi" w:hAnsiTheme="minorHAnsi" w:cstheme="minorHAnsi"/>
          <w:b/>
        </w:rPr>
        <w:t>TxD</w:t>
      </w:r>
      <w:proofErr w:type="spellEnd"/>
      <w:r>
        <w:rPr>
          <w:rFonts w:asciiTheme="minorHAnsi" w:hAnsiTheme="minorHAnsi" w:cstheme="minorHAnsi"/>
          <w:b/>
        </w:rPr>
        <w:t xml:space="preserve"> is supported in non-CA band combination only in Rel-18. </w:t>
      </w:r>
    </w:p>
    <w:p w:rsidR="009E49D5" w:rsidRPr="00BF7939" w:rsidRDefault="009E49D5" w:rsidP="009E49D5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3</w:t>
      </w:r>
      <w:r w:rsidRPr="00BF7939">
        <w:rPr>
          <w:rFonts w:asciiTheme="minorHAnsi" w:hAnsiTheme="minorHAnsi" w:cstheme="minorHAnsi"/>
          <w:b/>
        </w:rPr>
        <w:t xml:space="preserve">: </w:t>
      </w:r>
      <w:r w:rsidR="00136AED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new UE capability for 2</w:t>
      </w:r>
      <w:r w:rsidRPr="00BF7939">
        <w:rPr>
          <w:rFonts w:asciiTheme="minorHAnsi" w:hAnsiTheme="minorHAnsi" w:cstheme="minorHAnsi"/>
          <w:b/>
        </w:rPr>
        <w:t xml:space="preserve">Tx </w:t>
      </w:r>
      <w:proofErr w:type="spellStart"/>
      <w:r w:rsidRPr="00BF7939">
        <w:rPr>
          <w:rFonts w:asciiTheme="minorHAnsi" w:hAnsiTheme="minorHAnsi" w:cstheme="minorHAnsi"/>
          <w:b/>
        </w:rPr>
        <w:t>TxD</w:t>
      </w:r>
      <w:proofErr w:type="spellEnd"/>
      <w:r w:rsidRPr="00BF7939">
        <w:rPr>
          <w:rFonts w:asciiTheme="minorHAnsi" w:hAnsiTheme="minorHAnsi" w:cstheme="minorHAnsi"/>
          <w:b/>
        </w:rPr>
        <w:t xml:space="preserve"> support is defined in </w:t>
      </w:r>
      <w:proofErr w:type="spellStart"/>
      <w:r w:rsidRPr="00BF7939">
        <w:rPr>
          <w:rFonts w:asciiTheme="minorHAnsi" w:hAnsiTheme="minorHAnsi" w:cstheme="minorHAnsi"/>
          <w:b/>
        </w:rPr>
        <w:t>FeatureSetUplink</w:t>
      </w:r>
      <w:proofErr w:type="spellEnd"/>
      <w:r w:rsidRPr="00BF7939">
        <w:rPr>
          <w:rFonts w:asciiTheme="minorHAnsi" w:hAnsiTheme="minorHAnsi" w:cstheme="minorHAnsi"/>
          <w:b/>
        </w:rPr>
        <w:t xml:space="preserve">. </w:t>
      </w:r>
    </w:p>
    <w:p w:rsidR="009E49D5" w:rsidRDefault="009E49D5" w:rsidP="009E49D5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4</w:t>
      </w:r>
      <w:r w:rsidRPr="00BF7939">
        <w:rPr>
          <w:rFonts w:asciiTheme="minorHAnsi" w:hAnsiTheme="minorHAnsi" w:cstheme="minorHAnsi"/>
          <w:b/>
        </w:rPr>
        <w:t xml:space="preserve">: </w:t>
      </w:r>
      <w:r w:rsidRPr="001C125C">
        <w:rPr>
          <w:rFonts w:asciiTheme="minorHAnsi" w:hAnsiTheme="minorHAnsi" w:cstheme="minorHAnsi"/>
          <w:b/>
        </w:rPr>
        <w:t>txDiversity-r16</w:t>
      </w:r>
      <w:r>
        <w:rPr>
          <w:rFonts w:asciiTheme="minorHAnsi" w:hAnsiTheme="minorHAnsi" w:cstheme="minorHAnsi"/>
          <w:b/>
        </w:rPr>
        <w:t xml:space="preserve"> is applied to non-CA and new UE capability signaling is used for CA band combination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9E49D5" w:rsidRDefault="009E49D5" w:rsidP="009E49D5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t>Proposal</w:t>
      </w:r>
      <w:r>
        <w:rPr>
          <w:rFonts w:asciiTheme="minorHAnsi" w:hAnsiTheme="minorHAnsi" w:cstheme="minorHAnsi"/>
          <w:b/>
        </w:rPr>
        <w:t xml:space="preserve"> 5</w:t>
      </w:r>
      <w:r w:rsidRPr="00BF7939">
        <w:rPr>
          <w:rFonts w:asciiTheme="minorHAnsi" w:hAnsiTheme="minorHAnsi" w:cstheme="minorHAnsi"/>
          <w:b/>
        </w:rPr>
        <w:t xml:space="preserve">: </w:t>
      </w:r>
      <w:r w:rsidR="00136AED">
        <w:rPr>
          <w:rFonts w:asciiTheme="minorHAnsi" w:hAnsiTheme="minorHAnsi" w:cstheme="minorHAnsi"/>
          <w:b/>
        </w:rPr>
        <w:t>N</w:t>
      </w:r>
      <w:r>
        <w:rPr>
          <w:rFonts w:asciiTheme="minorHAnsi" w:hAnsiTheme="minorHAnsi" w:cstheme="minorHAnsi"/>
          <w:b/>
        </w:rPr>
        <w:t>ew UE capability signaling doesn’t require the s</w:t>
      </w:r>
      <w:bookmarkStart w:id="0" w:name="_GoBack"/>
      <w:bookmarkEnd w:id="0"/>
      <w:r>
        <w:rPr>
          <w:rFonts w:asciiTheme="minorHAnsi" w:hAnsiTheme="minorHAnsi" w:cstheme="minorHAnsi"/>
          <w:b/>
        </w:rPr>
        <w:t>upport of txDiversity-16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9E49D5" w:rsidRDefault="009E49D5" w:rsidP="009E49D5">
      <w:pPr>
        <w:spacing w:after="240"/>
        <w:ind w:left="0"/>
        <w:rPr>
          <w:rFonts w:asciiTheme="minorHAnsi" w:hAnsiTheme="minorHAnsi" w:cstheme="minorHAnsi"/>
          <w:b/>
        </w:rPr>
      </w:pPr>
      <w:r w:rsidRPr="00BF7939">
        <w:rPr>
          <w:rFonts w:asciiTheme="minorHAnsi" w:hAnsiTheme="minorHAnsi" w:cstheme="minorHAnsi"/>
          <w:b/>
        </w:rPr>
        <w:lastRenderedPageBreak/>
        <w:t>Proposal</w:t>
      </w:r>
      <w:r>
        <w:rPr>
          <w:rFonts w:asciiTheme="minorHAnsi" w:hAnsiTheme="minorHAnsi" w:cstheme="minorHAnsi"/>
          <w:b/>
        </w:rPr>
        <w:t xml:space="preserve"> 6</w:t>
      </w:r>
      <w:r w:rsidRPr="00BF7939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 xml:space="preserve">RAN2 discuss whether </w:t>
      </w:r>
      <w:r w:rsidRPr="001C125C">
        <w:rPr>
          <w:rFonts w:asciiTheme="minorHAnsi" w:hAnsiTheme="minorHAnsi" w:cstheme="minorHAnsi"/>
          <w:b/>
        </w:rPr>
        <w:t xml:space="preserve">the absence of new capability signaling means </w:t>
      </w:r>
      <w:r>
        <w:rPr>
          <w:rFonts w:asciiTheme="minorHAnsi" w:hAnsiTheme="minorHAnsi" w:cstheme="minorHAnsi"/>
          <w:b/>
        </w:rPr>
        <w:t xml:space="preserve">1) </w:t>
      </w:r>
      <w:r w:rsidRPr="001C125C">
        <w:rPr>
          <w:rFonts w:asciiTheme="minorHAnsi" w:hAnsiTheme="minorHAnsi" w:cstheme="minorHAnsi"/>
          <w:b/>
        </w:rPr>
        <w:t xml:space="preserve">no support of </w:t>
      </w:r>
      <w:proofErr w:type="spellStart"/>
      <w:r w:rsidRPr="001C125C">
        <w:rPr>
          <w:rFonts w:asciiTheme="minorHAnsi" w:hAnsiTheme="minorHAnsi" w:cstheme="minorHAnsi"/>
          <w:b/>
        </w:rPr>
        <w:t>tx</w:t>
      </w:r>
      <w:proofErr w:type="spellEnd"/>
      <w:r w:rsidRPr="001C125C">
        <w:rPr>
          <w:rFonts w:asciiTheme="minorHAnsi" w:hAnsiTheme="minorHAnsi" w:cstheme="minorHAnsi"/>
          <w:b/>
        </w:rPr>
        <w:t xml:space="preserve"> diversity</w:t>
      </w:r>
      <w:r>
        <w:rPr>
          <w:rFonts w:asciiTheme="minorHAnsi" w:hAnsiTheme="minorHAnsi" w:cstheme="minorHAnsi"/>
          <w:b/>
        </w:rPr>
        <w:t xml:space="preserve"> or 2) follow </w:t>
      </w:r>
      <w:r w:rsidRPr="005D7796">
        <w:rPr>
          <w:rFonts w:asciiTheme="minorHAnsi" w:hAnsiTheme="minorHAnsi" w:cstheme="minorHAnsi"/>
          <w:b/>
        </w:rPr>
        <w:t>txDiversity-r16</w:t>
      </w:r>
      <w:r w:rsidRPr="001C125C">
        <w:rPr>
          <w:rFonts w:asciiTheme="minorHAnsi" w:hAnsiTheme="minorHAnsi" w:cstheme="minorHAnsi"/>
          <w:b/>
        </w:rPr>
        <w:t xml:space="preserve"> in the </w:t>
      </w:r>
      <w:r>
        <w:rPr>
          <w:rFonts w:asciiTheme="minorHAnsi" w:hAnsiTheme="minorHAnsi" w:cstheme="minorHAnsi"/>
          <w:b/>
        </w:rPr>
        <w:t xml:space="preserve">corresponding </w:t>
      </w:r>
      <w:r w:rsidRPr="001C125C">
        <w:rPr>
          <w:rFonts w:asciiTheme="minorHAnsi" w:hAnsiTheme="minorHAnsi" w:cstheme="minorHAnsi"/>
          <w:b/>
        </w:rPr>
        <w:t>band</w:t>
      </w:r>
      <w:r w:rsidRPr="00BF7939">
        <w:rPr>
          <w:rFonts w:asciiTheme="minorHAnsi" w:hAnsiTheme="minorHAnsi" w:cstheme="minorHAnsi"/>
          <w:b/>
        </w:rPr>
        <w:t xml:space="preserve">. </w:t>
      </w:r>
    </w:p>
    <w:p w:rsidR="0028768E" w:rsidRDefault="0028768E" w:rsidP="009E49D5">
      <w:pPr>
        <w:ind w:left="0"/>
        <w:rPr>
          <w:lang w:eastAsia="en-US"/>
        </w:rPr>
      </w:pPr>
    </w:p>
    <w:p w:rsidR="0028768E" w:rsidRDefault="0028768E" w:rsidP="0028768E">
      <w:pPr>
        <w:pStyle w:val="1"/>
        <w:rPr>
          <w:rFonts w:cs="Arial"/>
        </w:rPr>
      </w:pPr>
      <w:r>
        <w:rPr>
          <w:rFonts w:cs="Arial"/>
        </w:rPr>
        <w:t>Reference</w:t>
      </w:r>
    </w:p>
    <w:p w:rsidR="0028768E" w:rsidRPr="009E49D5" w:rsidRDefault="0028768E" w:rsidP="0028768E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[1] </w:t>
      </w:r>
      <w:r w:rsidRPr="009E49D5">
        <w:rPr>
          <w:rFonts w:asciiTheme="minorHAnsi" w:hAnsiTheme="minorHAnsi" w:cstheme="minorHAnsi"/>
        </w:rPr>
        <w:t>R2-2311753</w:t>
      </w:r>
      <w:r w:rsidRPr="009E49D5">
        <w:rPr>
          <w:rFonts w:asciiTheme="minorHAnsi" w:hAnsiTheme="minorHAnsi" w:cstheme="minorHAnsi"/>
        </w:rPr>
        <w:tab/>
        <w:t xml:space="preserve">LS on </w:t>
      </w:r>
      <w:proofErr w:type="spellStart"/>
      <w:r w:rsidRPr="009E49D5">
        <w:rPr>
          <w:rFonts w:asciiTheme="minorHAnsi" w:hAnsiTheme="minorHAnsi" w:cstheme="minorHAnsi"/>
        </w:rPr>
        <w:t>signalling</w:t>
      </w:r>
      <w:proofErr w:type="spellEnd"/>
      <w:r w:rsidRPr="009E49D5">
        <w:rPr>
          <w:rFonts w:asciiTheme="minorHAnsi" w:hAnsiTheme="minorHAnsi" w:cstheme="minorHAnsi"/>
        </w:rPr>
        <w:t xml:space="preserve"> for 4Tx </w:t>
      </w:r>
      <w:proofErr w:type="spellStart"/>
      <w:r w:rsidRPr="009E49D5">
        <w:rPr>
          <w:rFonts w:asciiTheme="minorHAnsi" w:hAnsiTheme="minorHAnsi" w:cstheme="minorHAnsi"/>
        </w:rPr>
        <w:t>TxD</w:t>
      </w:r>
      <w:proofErr w:type="spellEnd"/>
      <w:r w:rsidRPr="009E49D5">
        <w:rPr>
          <w:rFonts w:asciiTheme="minorHAnsi" w:hAnsiTheme="minorHAnsi" w:cstheme="minorHAnsi"/>
        </w:rPr>
        <w:t xml:space="preserve"> (R4-2317617; contact: vivo)</w:t>
      </w:r>
      <w:r w:rsidRPr="009E49D5">
        <w:rPr>
          <w:rFonts w:asciiTheme="minorHAnsi" w:hAnsiTheme="minorHAnsi" w:cstheme="minorHAnsi"/>
        </w:rPr>
        <w:tab/>
        <w:t>RAN4</w:t>
      </w:r>
    </w:p>
    <w:p w:rsidR="001C125C" w:rsidRPr="001C125C" w:rsidRDefault="0028768E" w:rsidP="0028768E">
      <w:pPr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[2] </w:t>
      </w:r>
      <w:r w:rsidRPr="009E49D5">
        <w:rPr>
          <w:rFonts w:asciiTheme="minorHAnsi" w:hAnsiTheme="minorHAnsi" w:cstheme="minorHAnsi"/>
        </w:rPr>
        <w:t>R2-2311756</w:t>
      </w:r>
      <w:r w:rsidRPr="009E49D5">
        <w:rPr>
          <w:rFonts w:asciiTheme="minorHAnsi" w:hAnsiTheme="minorHAnsi" w:cstheme="minorHAnsi"/>
        </w:rPr>
        <w:tab/>
        <w:t xml:space="preserve">LS on new per band per BC </w:t>
      </w:r>
      <w:proofErr w:type="spellStart"/>
      <w:r w:rsidRPr="009E49D5">
        <w:rPr>
          <w:rFonts w:asciiTheme="minorHAnsi" w:hAnsiTheme="minorHAnsi" w:cstheme="minorHAnsi"/>
        </w:rPr>
        <w:t>TxD</w:t>
      </w:r>
      <w:proofErr w:type="spellEnd"/>
      <w:r w:rsidRPr="009E49D5">
        <w:rPr>
          <w:rFonts w:asciiTheme="minorHAnsi" w:hAnsiTheme="minorHAnsi" w:cstheme="minorHAnsi"/>
        </w:rPr>
        <w:t xml:space="preserve"> capability (R4-2317762; contact: Huawei)</w:t>
      </w:r>
      <w:r w:rsidRPr="009E49D5">
        <w:rPr>
          <w:rFonts w:asciiTheme="minorHAnsi" w:hAnsiTheme="minorHAnsi" w:cstheme="minorHAnsi"/>
        </w:rPr>
        <w:tab/>
        <w:t>RAN4</w:t>
      </w:r>
    </w:p>
    <w:sectPr w:rsidR="001C125C" w:rsidRPr="001C12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3CD064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38209D"/>
    <w:multiLevelType w:val="hybridMultilevel"/>
    <w:tmpl w:val="DA047666"/>
    <w:lvl w:ilvl="0" w:tplc="187E1346">
      <w:numFmt w:val="bullet"/>
      <w:lvlText w:val="-"/>
      <w:lvlJc w:val="left"/>
      <w:pPr>
        <w:ind w:left="720" w:hanging="360"/>
      </w:pPr>
      <w:rPr>
        <w:rFonts w:ascii="Calibri" w:eastAsia="굴림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939"/>
    <w:rsid w:val="00136AED"/>
    <w:rsid w:val="001A7543"/>
    <w:rsid w:val="001C125C"/>
    <w:rsid w:val="0024302E"/>
    <w:rsid w:val="002627C9"/>
    <w:rsid w:val="0028768E"/>
    <w:rsid w:val="003C31A8"/>
    <w:rsid w:val="005D7796"/>
    <w:rsid w:val="00693209"/>
    <w:rsid w:val="006C20CF"/>
    <w:rsid w:val="00722FBB"/>
    <w:rsid w:val="009602EA"/>
    <w:rsid w:val="00967D7A"/>
    <w:rsid w:val="009E49D5"/>
    <w:rsid w:val="00A83063"/>
    <w:rsid w:val="00AF2AC6"/>
    <w:rsid w:val="00BF7939"/>
    <w:rsid w:val="00C557B3"/>
    <w:rsid w:val="00E8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4D520"/>
  <w15:chartTrackingRefBased/>
  <w15:docId w15:val="{E171D07C-C8E2-4B74-A039-2EC2F693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939"/>
    <w:pPr>
      <w:spacing w:after="0" w:line="240" w:lineRule="auto"/>
      <w:ind w:left="450"/>
    </w:pPr>
    <w:rPr>
      <w:rFonts w:ascii="굴림" w:eastAsia="굴림" w:hAnsi="굴림" w:cs="Calibri"/>
      <w:sz w:val="24"/>
      <w:szCs w:val="24"/>
    </w:rPr>
  </w:style>
  <w:style w:type="paragraph" w:styleId="1">
    <w:name w:val="heading 1"/>
    <w:aliases w:val="H1,h1,Heading 1 3GPP"/>
    <w:next w:val="a"/>
    <w:link w:val="1Char"/>
    <w:qFormat/>
    <w:rsid w:val="00BF793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BF7939"/>
    <w:pPr>
      <w:keepNext/>
      <w:numPr>
        <w:ilvl w:val="2"/>
        <w:numId w:val="2"/>
      </w:numPr>
      <w:overflowPunct w:val="0"/>
      <w:autoSpaceDE w:val="0"/>
      <w:autoSpaceDN w:val="0"/>
      <w:spacing w:before="240" w:after="60"/>
      <w:outlineLvl w:val="2"/>
    </w:pPr>
    <w:rPr>
      <w:rFonts w:ascii="Arial" w:eastAsia="SimSun" w:hAnsi="Arial" w:cs="Times New Roman"/>
      <w:b/>
      <w:bCs/>
      <w:sz w:val="26"/>
      <w:szCs w:val="26"/>
      <w:lang w:val="x-none" w:eastAsia="ja-JP"/>
    </w:rPr>
  </w:style>
  <w:style w:type="paragraph" w:styleId="4">
    <w:name w:val="heading 4"/>
    <w:basedOn w:val="a"/>
    <w:next w:val="a"/>
    <w:link w:val="4Char"/>
    <w:qFormat/>
    <w:rsid w:val="00BF7939"/>
    <w:pPr>
      <w:keepNext/>
      <w:numPr>
        <w:ilvl w:val="3"/>
        <w:numId w:val="2"/>
      </w:numPr>
      <w:overflowPunct w:val="0"/>
      <w:autoSpaceDE w:val="0"/>
      <w:autoSpaceDN w:val="0"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939"/>
    <w:pPr>
      <w:ind w:leftChars="400" w:left="800"/>
    </w:pPr>
  </w:style>
  <w:style w:type="character" w:customStyle="1" w:styleId="1Char">
    <w:name w:val="제목 1 Char"/>
    <w:aliases w:val="H1 Char,h1 Char,Heading 1 3GPP Char"/>
    <w:basedOn w:val="a0"/>
    <w:link w:val="1"/>
    <w:rsid w:val="00BF7939"/>
    <w:rPr>
      <w:rFonts w:ascii="Arial" w:eastAsia="SimSun" w:hAnsi="Arial" w:cs="Times New Roman"/>
      <w:sz w:val="36"/>
      <w:szCs w:val="20"/>
      <w:lang w:eastAsia="en-US"/>
    </w:rPr>
  </w:style>
  <w:style w:type="character" w:customStyle="1" w:styleId="3Char">
    <w:name w:val="제목 3 Char"/>
    <w:basedOn w:val="a0"/>
    <w:link w:val="3"/>
    <w:rsid w:val="00BF7939"/>
    <w:rPr>
      <w:rFonts w:ascii="Arial" w:eastAsia="SimSun" w:hAnsi="Arial" w:cs="Times New Roman"/>
      <w:b/>
      <w:bCs/>
      <w:sz w:val="26"/>
      <w:szCs w:val="26"/>
      <w:lang w:val="x-none" w:eastAsia="ja-JP"/>
    </w:rPr>
  </w:style>
  <w:style w:type="character" w:customStyle="1" w:styleId="4Char">
    <w:name w:val="제목 4 Char"/>
    <w:basedOn w:val="a0"/>
    <w:link w:val="4"/>
    <w:rsid w:val="00BF7939"/>
    <w:rPr>
      <w:rFonts w:ascii="Times New Roman" w:eastAsia="굴림" w:hAnsi="Times New Roman" w:cs="Times New Roman"/>
      <w:b/>
      <w:bCs/>
      <w:sz w:val="28"/>
      <w:szCs w:val="28"/>
      <w:lang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BF793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BF7939"/>
    <w:rPr>
      <w:rFonts w:ascii="Arial" w:eastAsia="Times New Roman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BF793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F7939"/>
    <w:rPr>
      <w:rFonts w:ascii="Arial" w:eastAsia="MS Mincho" w:hAnsi="Arial" w:cs="Times New Roman"/>
      <w:sz w:val="20"/>
      <w:szCs w:val="20"/>
      <w:lang w:val="en-GB" w:eastAsia="en-US"/>
    </w:rPr>
  </w:style>
  <w:style w:type="table" w:styleId="a5">
    <w:name w:val="Table Grid"/>
    <w:basedOn w:val="a1"/>
    <w:uiPriority w:val="39"/>
    <w:rsid w:val="00BF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C557B3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C557B3"/>
    <w:rPr>
      <w:rFonts w:ascii="Segoe UI" w:eastAsia="굴림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 Heo</dc:creator>
  <cp:keywords/>
  <dc:description/>
  <cp:lastModifiedBy>Seungri Jin (Samsung)</cp:lastModifiedBy>
  <cp:revision>3</cp:revision>
  <dcterms:created xsi:type="dcterms:W3CDTF">2023-11-03T07:21:00Z</dcterms:created>
  <dcterms:modified xsi:type="dcterms:W3CDTF">2023-11-03T07:23:00Z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